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576E4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F6A72">
        <w:rPr>
          <w:rFonts w:ascii="Arial" w:hAnsi="Arial" w:cs="Arial"/>
          <w:b/>
          <w:sz w:val="20"/>
          <w:szCs w:val="20"/>
        </w:rPr>
        <w:t xml:space="preserve">Board resolution 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76E44">
        <w:rPr>
          <w:rFonts w:ascii="Arial" w:hAnsi="Arial" w:cs="Arial"/>
          <w:sz w:val="20"/>
          <w:szCs w:val="20"/>
        </w:rPr>
        <w:t>14</w:t>
      </w:r>
      <w:r w:rsidR="00647408">
        <w:rPr>
          <w:rFonts w:ascii="Arial" w:hAnsi="Arial" w:cs="Arial"/>
          <w:sz w:val="20"/>
          <w:szCs w:val="20"/>
        </w:rPr>
        <w:t xml:space="preserve"> </w:t>
      </w:r>
      <w:r w:rsidR="0046688B">
        <w:rPr>
          <w:rFonts w:ascii="Arial" w:hAnsi="Arial" w:cs="Arial"/>
          <w:sz w:val="20"/>
          <w:szCs w:val="20"/>
        </w:rPr>
        <w:t>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576E44" w:rsidRPr="00576E44">
        <w:rPr>
          <w:rFonts w:ascii="Arial" w:hAnsi="Arial" w:cs="Arial"/>
          <w:sz w:val="20"/>
          <w:szCs w:val="20"/>
        </w:rPr>
        <w:t xml:space="preserve">Dong </w:t>
      </w:r>
      <w:proofErr w:type="spellStart"/>
      <w:r w:rsidR="00576E44" w:rsidRPr="00576E44">
        <w:rPr>
          <w:rFonts w:ascii="Arial" w:hAnsi="Arial" w:cs="Arial"/>
          <w:sz w:val="20"/>
          <w:szCs w:val="20"/>
        </w:rPr>
        <w:t>Nai</w:t>
      </w:r>
      <w:proofErr w:type="spellEnd"/>
      <w:r w:rsidR="00576E44" w:rsidRPr="00576E44">
        <w:rPr>
          <w:rFonts w:ascii="Arial" w:hAnsi="Arial" w:cs="Arial"/>
          <w:sz w:val="20"/>
          <w:szCs w:val="20"/>
        </w:rPr>
        <w:t xml:space="preserve"> Material &amp; Building Investment Joint - Stock Company</w:t>
      </w:r>
      <w:r w:rsidR="00576E4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F6A72">
        <w:rPr>
          <w:rFonts w:ascii="Arial" w:hAnsi="Arial" w:cs="Arial"/>
          <w:sz w:val="20"/>
          <w:szCs w:val="20"/>
        </w:rPr>
        <w:t>Board resolution</w:t>
      </w:r>
      <w:r w:rsidR="00E561F4" w:rsidRPr="00E561F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76E44" w:rsidRDefault="00576E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 the 2019 dividend payment to shareholders</w:t>
      </w:r>
    </w:p>
    <w:p w:rsidR="00576E44" w:rsidRDefault="00576E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 form: in cash</w:t>
      </w:r>
      <w:bookmarkStart w:id="0" w:name="_GoBack"/>
      <w:bookmarkEnd w:id="0"/>
    </w:p>
    <w:p w:rsidR="00576E44" w:rsidRDefault="00576E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Dividend payment rate: 11%/ share</w:t>
      </w:r>
    </w:p>
    <w:p w:rsidR="00576E44" w:rsidRDefault="00576E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to exercise the right of dividend payment: 15 Sep 2020</w:t>
      </w:r>
    </w:p>
    <w:p w:rsidR="00576E44" w:rsidRDefault="00576E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Date of dividend payment: 30 Sep 2020</w:t>
      </w:r>
    </w:p>
    <w:p w:rsidR="00576E44" w:rsidRDefault="00576E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Assign the Management Board to carry out in accordance with regulations </w:t>
      </w:r>
    </w:p>
    <w:sectPr w:rsidR="0057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76E44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439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334</cp:revision>
  <dcterms:created xsi:type="dcterms:W3CDTF">2019-10-16T10:03:00Z</dcterms:created>
  <dcterms:modified xsi:type="dcterms:W3CDTF">2020-08-18T07:26:00Z</dcterms:modified>
</cp:coreProperties>
</file>